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346"/>
      </w:pPr>
      <w:r>
        <w:t>中国新闻奖报纸版面参评作品推荐表</w:t>
      </w:r>
    </w:p>
    <w:p>
      <w:pPr>
        <w:pStyle w:val="4"/>
        <w:spacing w:before="7"/>
        <w:rPr>
          <w:rFonts w:ascii="PMingLiU"/>
          <w:sz w:val="15"/>
        </w:rPr>
      </w:pPr>
    </w:p>
    <w:tbl>
      <w:tblPr>
        <w:tblStyle w:val="7"/>
        <w:tblW w:w="0" w:type="auto"/>
        <w:tblInd w:w="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366"/>
        <w:gridCol w:w="3544"/>
        <w:gridCol w:w="1561"/>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446" w:type="dxa"/>
            <w:gridSpan w:val="2"/>
          </w:tcPr>
          <w:p>
            <w:pPr>
              <w:pStyle w:val="12"/>
              <w:spacing w:before="176"/>
              <w:ind w:left="160"/>
              <w:rPr>
                <w:rFonts w:ascii="PMingLiU" w:eastAsia="PMingLiU"/>
                <w:sz w:val="28"/>
              </w:rPr>
            </w:pPr>
            <w:r>
              <w:rPr>
                <w:rFonts w:hint="eastAsia" w:ascii="PMingLiU" w:eastAsia="PMingLiU"/>
                <w:sz w:val="28"/>
              </w:rPr>
              <w:t>报纸名称</w:t>
            </w:r>
          </w:p>
        </w:tc>
        <w:tc>
          <w:tcPr>
            <w:tcW w:w="3544" w:type="dxa"/>
            <w:vAlign w:val="center"/>
          </w:tcPr>
          <w:p>
            <w:pPr>
              <w:pStyle w:val="12"/>
              <w:jc w:val="center"/>
              <w:rPr>
                <w:rFonts w:ascii="Times New Roman"/>
              </w:rPr>
            </w:pPr>
            <w:r>
              <w:rPr>
                <w:rFonts w:hint="eastAsia"/>
                <w:sz w:val="21"/>
              </w:rPr>
              <w:t>经济日报</w:t>
            </w:r>
          </w:p>
        </w:tc>
        <w:tc>
          <w:tcPr>
            <w:tcW w:w="1561" w:type="dxa"/>
          </w:tcPr>
          <w:p>
            <w:pPr>
              <w:pStyle w:val="12"/>
              <w:spacing w:before="176"/>
              <w:ind w:left="216"/>
              <w:rPr>
                <w:rFonts w:ascii="PMingLiU" w:eastAsia="PMingLiU"/>
                <w:sz w:val="28"/>
              </w:rPr>
            </w:pPr>
            <w:r>
              <w:rPr>
                <w:rFonts w:hint="eastAsia" w:ascii="PMingLiU" w:eastAsia="PMingLiU"/>
                <w:sz w:val="28"/>
              </w:rPr>
              <w:t>参评项目</w:t>
            </w:r>
          </w:p>
        </w:tc>
        <w:tc>
          <w:tcPr>
            <w:tcW w:w="2636" w:type="dxa"/>
            <w:vAlign w:val="center"/>
          </w:tcPr>
          <w:p>
            <w:pPr>
              <w:pStyle w:val="12"/>
              <w:ind w:left="104"/>
              <w:jc w:val="center"/>
              <w:rPr>
                <w:sz w:val="21"/>
              </w:rPr>
            </w:pPr>
            <w:r>
              <w:rPr>
                <w:sz w:val="21"/>
              </w:rPr>
              <w:t>新闻版面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446" w:type="dxa"/>
            <w:gridSpan w:val="2"/>
          </w:tcPr>
          <w:p>
            <w:pPr>
              <w:pStyle w:val="12"/>
              <w:spacing w:before="30" w:line="400" w:lineRule="atLeast"/>
              <w:ind w:left="302" w:right="150" w:hanging="142"/>
              <w:rPr>
                <w:rFonts w:ascii="PMingLiU" w:eastAsia="PMingLiU"/>
                <w:sz w:val="28"/>
              </w:rPr>
            </w:pPr>
            <w:r>
              <w:rPr>
                <w:rFonts w:hint="eastAsia" w:ascii="PMingLiU" w:eastAsia="PMingLiU"/>
                <w:sz w:val="28"/>
              </w:rPr>
              <w:t>版面名称及版次</w:t>
            </w:r>
          </w:p>
        </w:tc>
        <w:tc>
          <w:tcPr>
            <w:tcW w:w="3544" w:type="dxa"/>
            <w:vAlign w:val="center"/>
          </w:tcPr>
          <w:p>
            <w:pPr>
              <w:pStyle w:val="12"/>
              <w:jc w:val="center"/>
              <w:rPr>
                <w:rFonts w:ascii="Times New Roman"/>
                <w:lang w:val="en-US"/>
              </w:rPr>
            </w:pPr>
            <w:r>
              <w:rPr>
                <w:rFonts w:hint="eastAsia" w:ascii="Times New Roman"/>
                <w:lang w:val="en-US"/>
              </w:rPr>
              <w:t>文旅 8版</w:t>
            </w:r>
          </w:p>
        </w:tc>
        <w:tc>
          <w:tcPr>
            <w:tcW w:w="1561" w:type="dxa"/>
          </w:tcPr>
          <w:p>
            <w:pPr>
              <w:pStyle w:val="12"/>
              <w:spacing w:before="238"/>
              <w:ind w:left="216"/>
              <w:rPr>
                <w:rFonts w:ascii="PMingLiU" w:eastAsia="PMingLiU"/>
                <w:sz w:val="28"/>
              </w:rPr>
            </w:pPr>
            <w:r>
              <w:rPr>
                <w:rFonts w:hint="eastAsia" w:ascii="PMingLiU" w:eastAsia="PMingLiU"/>
                <w:sz w:val="28"/>
              </w:rPr>
              <w:t>刊发日期</w:t>
            </w:r>
          </w:p>
        </w:tc>
        <w:tc>
          <w:tcPr>
            <w:tcW w:w="2636" w:type="dxa"/>
          </w:tcPr>
          <w:p>
            <w:pPr>
              <w:pStyle w:val="12"/>
              <w:tabs>
                <w:tab w:val="left" w:pos="1480"/>
                <w:tab w:val="left" w:pos="2080"/>
              </w:tabs>
              <w:spacing w:before="240"/>
              <w:ind w:left="104" w:firstLine="420" w:firstLineChars="200"/>
              <w:rPr>
                <w:rFonts w:ascii="PMingLiU" w:eastAsia="PMingLiU"/>
                <w:sz w:val="24"/>
              </w:rPr>
            </w:pPr>
            <w:r>
              <w:rPr>
                <w:rFonts w:hint="eastAsia"/>
                <w:sz w:val="21"/>
              </w:rPr>
              <w:t>20</w:t>
            </w:r>
            <w:r>
              <w:rPr>
                <w:rFonts w:hint="eastAsia"/>
                <w:sz w:val="21"/>
                <w:lang w:val="en-US"/>
              </w:rPr>
              <w:t>22</w:t>
            </w:r>
            <w:r>
              <w:rPr>
                <w:rFonts w:hint="eastAsia"/>
                <w:sz w:val="21"/>
              </w:rPr>
              <w:t xml:space="preserve"> 年</w:t>
            </w:r>
            <w:r>
              <w:rPr>
                <w:rFonts w:hint="eastAsia"/>
                <w:sz w:val="21"/>
                <w:lang w:val="en-US"/>
              </w:rPr>
              <w:t>12</w:t>
            </w:r>
            <w:r>
              <w:rPr>
                <w:rFonts w:hint="eastAsia"/>
                <w:sz w:val="21"/>
              </w:rPr>
              <w:t>月</w:t>
            </w:r>
            <w:r>
              <w:rPr>
                <w:rFonts w:hint="eastAsia"/>
                <w:sz w:val="21"/>
                <w:lang w:val="en-US"/>
              </w:rPr>
              <w:t>31</w:t>
            </w:r>
            <w:r>
              <w:rPr>
                <w:rFonts w:hint="eastAsia"/>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446" w:type="dxa"/>
            <w:gridSpan w:val="2"/>
          </w:tcPr>
          <w:p>
            <w:pPr>
              <w:pStyle w:val="12"/>
              <w:spacing w:before="144"/>
              <w:ind w:left="441"/>
              <w:rPr>
                <w:rFonts w:ascii="PMingLiU" w:eastAsia="PMingLiU"/>
                <w:sz w:val="28"/>
              </w:rPr>
            </w:pPr>
            <w:r>
              <w:rPr>
                <w:rFonts w:hint="eastAsia" w:ascii="PMingLiU" w:eastAsia="PMingLiU"/>
                <w:sz w:val="28"/>
              </w:rPr>
              <w:t>作者</w:t>
            </w:r>
          </w:p>
        </w:tc>
        <w:tc>
          <w:tcPr>
            <w:tcW w:w="3544" w:type="dxa"/>
            <w:vAlign w:val="center"/>
          </w:tcPr>
          <w:p>
            <w:pPr>
              <w:pStyle w:val="12"/>
              <w:jc w:val="center"/>
              <w:rPr>
                <w:rFonts w:ascii="Times New Roman"/>
                <w:lang w:val="en-US"/>
              </w:rPr>
            </w:pPr>
            <w:r>
              <w:rPr>
                <w:rFonts w:hint="eastAsia" w:ascii="Times New Roman"/>
                <w:lang w:val="en-US"/>
              </w:rPr>
              <w:t>陈莹莹 徐晓燕 王子萱</w:t>
            </w:r>
          </w:p>
        </w:tc>
        <w:tc>
          <w:tcPr>
            <w:tcW w:w="1561" w:type="dxa"/>
          </w:tcPr>
          <w:p>
            <w:pPr>
              <w:pStyle w:val="12"/>
              <w:spacing w:before="144"/>
              <w:ind w:left="497"/>
              <w:rPr>
                <w:rFonts w:ascii="PMingLiU" w:eastAsia="PMingLiU"/>
                <w:sz w:val="28"/>
              </w:rPr>
            </w:pPr>
            <w:r>
              <w:rPr>
                <w:rFonts w:hint="eastAsia" w:ascii="PMingLiU" w:eastAsia="PMingLiU"/>
                <w:sz w:val="28"/>
              </w:rPr>
              <w:t>编辑</w:t>
            </w:r>
          </w:p>
        </w:tc>
        <w:tc>
          <w:tcPr>
            <w:tcW w:w="2636" w:type="dxa"/>
            <w:vAlign w:val="center"/>
          </w:tcPr>
          <w:p>
            <w:pPr>
              <w:pStyle w:val="12"/>
              <w:jc w:val="center"/>
              <w:rPr>
                <w:rFonts w:ascii="Times New Roman"/>
                <w:lang w:val="en-US"/>
              </w:rPr>
            </w:pPr>
            <w:r>
              <w:rPr>
                <w:rFonts w:hint="eastAsia" w:ascii="Times New Roman"/>
                <w:lang w:val="en-US"/>
              </w:rPr>
              <w:t xml:space="preserve">孟宪江 李静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1080" w:type="dxa"/>
          </w:tcPr>
          <w:p>
            <w:pPr>
              <w:pStyle w:val="12"/>
              <w:spacing w:before="189" w:line="208" w:lineRule="auto"/>
              <w:ind w:left="259" w:right="247"/>
              <w:jc w:val="both"/>
              <w:rPr>
                <w:rFonts w:ascii="PMingLiU" w:eastAsia="PMingLiU"/>
                <w:sz w:val="28"/>
              </w:rPr>
            </w:pPr>
            <w:r>
              <w:rPr>
                <w:rFonts w:hint="eastAsia" w:ascii="PMingLiU" w:eastAsia="PMingLiU"/>
                <w:sz w:val="28"/>
              </w:rPr>
              <w:t>采作编品过简程介</w:t>
            </w:r>
          </w:p>
        </w:tc>
        <w:tc>
          <w:tcPr>
            <w:tcW w:w="8107" w:type="dxa"/>
            <w:gridSpan w:val="4"/>
          </w:tcPr>
          <w:p>
            <w:pPr>
              <w:widowControl/>
              <w:spacing w:line="360" w:lineRule="auto"/>
              <w:ind w:firstLine="420" w:firstLineChars="200"/>
              <w:rPr>
                <w:rFonts w:ascii="PMingLiU"/>
                <w:sz w:val="18"/>
                <w:lang w:val="en-US"/>
              </w:rPr>
            </w:pPr>
            <w:r>
              <w:rPr>
                <w:rFonts w:hint="eastAsia"/>
                <w:sz w:val="21"/>
                <w:lang w:val="en-US"/>
              </w:rPr>
              <w:t>信心与融合，是这块文旅版的主题。2022年底，沉寂3年的文旅业亟需提振信心。经济日报文旅版以组合报道的形式为全面复苏前夜的文旅市场鼓劲助威。在文化和旅游部公示53家单位作为国家工业旅游示范基地之际，《经济日报》文旅版策划推出“挖掘工业旅游潜力”系列报道，通过讲述各地的工业旅游实践来进一步引导和促进工业旅游的发展，版面头条即该系列开篇之作。12月28日，朱砂古镇迎来初雪，记者深入采访，以一手资料讲述了资源枯竭的万山汞矿转型怀旧小镇、文旅融合发展打开当地全域旅游新格局的故事。有年代感的建筑、矿洞变身的“时空隧道”、初雪下的朱砂古镇在版面上栩栩如生地呈现。专家言论《挖掘工业旅游精神富矿》与倒头条《“剧本杀”闯出文旅融合新路》与头条相得益彰。形式上的美感吸引了读者的目光，标题制作精心、表达清新自然、内容流畅生动，为文旅市场注入了极大信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trPr>
        <w:tc>
          <w:tcPr>
            <w:tcW w:w="1080" w:type="dxa"/>
          </w:tcPr>
          <w:p>
            <w:pPr>
              <w:pStyle w:val="12"/>
              <w:spacing w:before="194" w:line="230" w:lineRule="auto"/>
              <w:ind w:left="398" w:right="390"/>
              <w:jc w:val="both"/>
              <w:rPr>
                <w:rFonts w:ascii="PMingLiU" w:eastAsia="PMingLiU"/>
                <w:sz w:val="28"/>
              </w:rPr>
            </w:pPr>
            <w:r>
              <w:rPr>
                <w:rFonts w:hint="eastAsia" w:ascii="PMingLiU" w:eastAsia="PMingLiU"/>
                <w:sz w:val="28"/>
              </w:rPr>
              <w:t>社会效果</w:t>
            </w:r>
          </w:p>
        </w:tc>
        <w:tc>
          <w:tcPr>
            <w:tcW w:w="8107" w:type="dxa"/>
            <w:gridSpan w:val="4"/>
          </w:tcPr>
          <w:p>
            <w:pPr>
              <w:widowControl/>
              <w:spacing w:line="360" w:lineRule="auto"/>
              <w:ind w:firstLine="420" w:firstLineChars="200"/>
              <w:rPr>
                <w:sz w:val="21"/>
              </w:rPr>
            </w:pPr>
            <w:r>
              <w:rPr>
                <w:rFonts w:hint="eastAsia"/>
                <w:sz w:val="21"/>
                <w:lang w:val="en-US"/>
              </w:rPr>
              <w:t>“破题”“闯出”“挖掘”，这块文旅版标题制作精心、版式大方清秀，基调振奋、笔触轻松、表达温暖。贵州新闻联播推出了该版头条专题节目，版面文章被人民网、央视网、中国网、中国经济网、光明网、网易、搜狐、金台资讯、《今日国土》网等转载转发，传播效果好、读者反响热烈。版面稿件以经济视角捕捉文化产业发展新动向新趋势，并以生动的实践来描述这一过程，体现了编辑记者丰富的理论积淀和实践经验，展现了政治站位、业务能力和文化修养，提振了市场信心、有助于推动形成新的文旅消费热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7" w:hRule="atLeast"/>
        </w:trPr>
        <w:tc>
          <w:tcPr>
            <w:tcW w:w="1080" w:type="dxa"/>
          </w:tcPr>
          <w:p>
            <w:pPr>
              <w:pStyle w:val="12"/>
              <w:spacing w:before="5"/>
              <w:rPr>
                <w:rFonts w:ascii="PMingLiU"/>
                <w:sz w:val="52"/>
              </w:rPr>
            </w:pPr>
          </w:p>
          <w:p>
            <w:pPr>
              <w:pStyle w:val="12"/>
              <w:spacing w:before="1" w:line="244" w:lineRule="auto"/>
              <w:ind w:left="398" w:right="390"/>
              <w:jc w:val="both"/>
              <w:rPr>
                <w:rFonts w:ascii="PMingLiU" w:eastAsia="PMingLiU"/>
                <w:sz w:val="28"/>
              </w:rPr>
            </w:pPr>
            <w:r>
              <w:rPr>
                <w:rFonts w:hint="eastAsia" w:ascii="PMingLiU" w:eastAsia="PMingLiU"/>
                <w:sz w:val="28"/>
              </w:rPr>
              <w:t>推荐理由</w:t>
            </w:r>
          </w:p>
        </w:tc>
        <w:tc>
          <w:tcPr>
            <w:tcW w:w="8107" w:type="dxa"/>
            <w:gridSpan w:val="4"/>
          </w:tcPr>
          <w:p>
            <w:pPr>
              <w:widowControl/>
              <w:spacing w:line="360" w:lineRule="auto"/>
              <w:ind w:firstLine="420" w:firstLineChars="200"/>
              <w:rPr>
                <w:rFonts w:ascii="PMingLiU" w:eastAsia="PMingLiU"/>
                <w:sz w:val="28"/>
              </w:rPr>
            </w:pPr>
            <w:r>
              <w:rPr>
                <w:rFonts w:hint="eastAsia"/>
                <w:sz w:val="21"/>
                <w:lang w:val="en-US"/>
              </w:rPr>
              <w:t>党的二十大报告提出，“</w:t>
            </w:r>
            <w:r>
              <w:rPr>
                <w:sz w:val="21"/>
                <w:lang w:val="en-US"/>
              </w:rPr>
              <w:t>坚持以文塑旅、以旅彰文，推进文化和旅游深度融合发展”，</w:t>
            </w:r>
            <w:r>
              <w:rPr>
                <w:rFonts w:hint="eastAsia"/>
                <w:sz w:val="21"/>
                <w:lang w:val="en-US"/>
              </w:rPr>
              <w:t>经济日报在2022年底推出这块文旅版正逢其时，有新闻性、话题性与时代性。历经疫情大考的文旅业坚定发展信心、找寻发展方向，版面紧跟最近政策、紧贴基层实践，上接天线、下接地气。无论是工业旅游的经典案例还是剧本杀闯出的发展新路，都在精心的版式设计中融为一体，给了旅游从业者信心、也给了地方文旅融合发展思路的启迪，正如习近平总书记所说，“文化产业和旅游产业密不可分，要坚持以文塑旅、以旅彰文，推动文化和旅游融合发展，让人们在领略自然之美中感悟文化之美、陶冶心灵之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1" w:hRule="atLeast"/>
        </w:trPr>
        <w:tc>
          <w:tcPr>
            <w:tcW w:w="1080" w:type="dxa"/>
          </w:tcPr>
          <w:p>
            <w:pPr>
              <w:pStyle w:val="12"/>
              <w:spacing w:before="9"/>
              <w:rPr>
                <w:rFonts w:ascii="PMingLiU"/>
                <w:sz w:val="29"/>
              </w:rPr>
            </w:pPr>
          </w:p>
          <w:p>
            <w:pPr>
              <w:pStyle w:val="12"/>
              <w:spacing w:line="232" w:lineRule="auto"/>
              <w:ind w:left="398" w:right="390"/>
              <w:jc w:val="both"/>
              <w:rPr>
                <w:rFonts w:ascii="PMingLiU" w:eastAsia="PMingLiU"/>
                <w:sz w:val="28"/>
              </w:rPr>
            </w:pPr>
            <w:r>
              <w:rPr>
                <w:rFonts w:hint="eastAsia" w:ascii="PMingLiU" w:eastAsia="PMingLiU"/>
                <w:sz w:val="28"/>
              </w:rPr>
              <w:t>初评评语</w:t>
            </w:r>
          </w:p>
        </w:tc>
        <w:tc>
          <w:tcPr>
            <w:tcW w:w="8107" w:type="dxa"/>
            <w:gridSpan w:val="4"/>
          </w:tcPr>
          <w:p>
            <w:pPr>
              <w:widowControl/>
              <w:spacing w:line="360" w:lineRule="auto"/>
              <w:ind w:firstLine="420" w:firstLineChars="200"/>
              <w:rPr>
                <w:rFonts w:hint="eastAsia"/>
                <w:sz w:val="21"/>
                <w:lang w:val="en-US"/>
              </w:rPr>
            </w:pPr>
            <w:r>
              <w:rPr>
                <w:rFonts w:hint="eastAsia"/>
                <w:sz w:val="21"/>
                <w:lang w:val="en-US"/>
              </w:rPr>
              <w:t>在众多参评版面中，这一整版既有对“后疫情时代”文旅业强劲复苏的憧憬，又自有其清新之处。有年代感的建筑，矿洞变身的“时空隧道”，初雪下的朱砂古镇跃然版上。更为难得的是，版面稿件以经济视角捕捉文旅产业发展新动向新趋势，并以生动的实践来描述这一过程，体现了编辑记者丰富的理论积淀和实践经验，以及良好的新闻嗅觉。</w:t>
            </w:r>
          </w:p>
          <w:p>
            <w:pPr>
              <w:pStyle w:val="12"/>
              <w:spacing w:before="2" w:line="376" w:lineRule="exact"/>
              <w:ind w:right="547"/>
              <w:jc w:val="both"/>
              <w:rPr>
                <w:rFonts w:ascii="PMingLiU" w:eastAsia="PMingLiU"/>
                <w:sz w:val="28"/>
                <w:lang w:val="en-US"/>
              </w:rPr>
            </w:pPr>
          </w:p>
          <w:p>
            <w:pPr>
              <w:pStyle w:val="12"/>
              <w:spacing w:before="2" w:line="376" w:lineRule="exact"/>
              <w:ind w:left="1223" w:right="547"/>
              <w:jc w:val="center"/>
              <w:rPr>
                <w:rFonts w:ascii="PMingLiU" w:eastAsia="PMingLiU"/>
                <w:sz w:val="28"/>
              </w:rPr>
            </w:pPr>
            <w:r>
              <w:rPr>
                <w:rFonts w:hint="eastAsia" w:ascii="PMingLiU" w:eastAsia="PMingLiU"/>
                <w:sz w:val="28"/>
              </w:rPr>
              <w:t>签名：</w:t>
            </w:r>
          </w:p>
          <w:p>
            <w:pPr>
              <w:pStyle w:val="12"/>
              <w:spacing w:line="376" w:lineRule="exact"/>
              <w:ind w:left="5550" w:right="547"/>
              <w:jc w:val="center"/>
              <w:rPr>
                <w:rFonts w:ascii="PMingLiU" w:eastAsia="PMingLiU"/>
                <w:sz w:val="28"/>
              </w:rPr>
            </w:pPr>
            <w:r>
              <w:rPr>
                <w:rFonts w:hint="eastAsia" w:ascii="PMingLiU" w:eastAsia="PMingLiU"/>
                <w:sz w:val="28"/>
              </w:rPr>
              <w:t>（盖单位公章）</w:t>
            </w:r>
          </w:p>
        </w:tc>
      </w:tr>
    </w:tbl>
    <w:p>
      <w:pPr>
        <w:pStyle w:val="4"/>
        <w:rPr>
          <w:sz w:val="20"/>
        </w:rPr>
      </w:pPr>
      <w:bookmarkStart w:id="0" w:name="_GoBack"/>
      <w:bookmarkEnd w:id="0"/>
    </w:p>
    <w:sectPr>
      <w:footerReference r:id="rId3" w:type="default"/>
      <w:pgSz w:w="11910" w:h="16840"/>
      <w:pgMar w:top="1580" w:right="380" w:bottom="1940" w:left="1020" w:header="0" w:footer="166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6372225</wp:posOffset>
              </wp:positionH>
              <wp:positionV relativeFrom="page">
                <wp:posOffset>9447530</wp:posOffset>
              </wp:positionV>
              <wp:extent cx="412750" cy="222885"/>
              <wp:effectExtent l="0" t="0" r="0" b="0"/>
              <wp:wrapNone/>
              <wp:docPr id="5" name="文本框 1"/>
              <wp:cNvGraphicFramePr/>
              <a:graphic xmlns:a="http://schemas.openxmlformats.org/drawingml/2006/main">
                <a:graphicData uri="http://schemas.microsoft.com/office/word/2010/wordprocessingShape">
                  <wps:wsp>
                    <wps:cNvSpPr txBox="1"/>
                    <wps:spPr>
                      <a:xfrm>
                        <a:off x="0" y="0"/>
                        <a:ext cx="412750" cy="222885"/>
                      </a:xfrm>
                      <a:prstGeom prst="rect">
                        <a:avLst/>
                      </a:prstGeom>
                      <a:noFill/>
                      <a:ln>
                        <a:noFill/>
                      </a:ln>
                    </wps:spPr>
                    <wps:txbx>
                      <w:txbxContent>
                        <w:p>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rPr>
                              <w:rFonts w:ascii="Times New Roman"/>
                              <w:sz w:val="28"/>
                            </w:rPr>
                            <w:t>2</w:t>
                          </w:r>
                          <w:r>
                            <w:fldChar w:fldCharType="end"/>
                          </w:r>
                          <w:r>
                            <w:rPr>
                              <w:rFonts w:ascii="Times New Roman"/>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501.75pt;margin-top:743.9pt;height:17.55pt;width:32.5pt;mso-position-horizontal-relative:page;mso-position-vertical-relative:page;z-index:-251657216;mso-width-relative:page;mso-height-relative:page;" filled="f" stroked="f" coordsize="21600,21600" o:gfxdata="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l3Ni2gAAAA8BAAAPAAAAAAAAAAEAIAAAACIAAABkcnMvZG93bnJldi54bWxQSwEC&#10;FAAUAAAACACHTuJAtrXeBbkBAABxAwAADgAAAAAAAAABACAAAAApAQAAZHJzL2Uyb0RvYy54bWxQ&#10;SwUGAAAAAAYABgBZAQAAVAUAAAAA&#10;">
              <v:fill on="f" focussize="0,0"/>
              <v:stroke on="f"/>
              <v:imagedata o:title=""/>
              <o:lock v:ext="edit" aspectratio="f"/>
              <v:textbox inset="0mm,0mm,0mm,0mm">
                <w:txbxContent>
                  <w:p>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rPr>
                        <w:rFonts w:ascii="Times New Roman"/>
                        <w:sz w:val="28"/>
                      </w:rPr>
                      <w:t>2</w:t>
                    </w:r>
                    <w:r>
                      <w:fldChar w:fldCharType="end"/>
                    </w:r>
                    <w:r>
                      <w:rPr>
                        <w:rFonts w:ascii="Times New Roman"/>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wMWU4NWRlZmZiMzQ1OWVhMTk4YTYwZjhlZGNjNjAifQ=="/>
  </w:docVars>
  <w:rsids>
    <w:rsidRoot w:val="009A1E8F"/>
    <w:rsid w:val="000A4960"/>
    <w:rsid w:val="007B1DE8"/>
    <w:rsid w:val="00893E0E"/>
    <w:rsid w:val="009A1E8F"/>
    <w:rsid w:val="00A24EFA"/>
    <w:rsid w:val="00D54D3B"/>
    <w:rsid w:val="00D804BD"/>
    <w:rsid w:val="1CFC2A18"/>
    <w:rsid w:val="1F9DF681"/>
    <w:rsid w:val="1FDEDB8E"/>
    <w:rsid w:val="2A9667A7"/>
    <w:rsid w:val="2D6FE13F"/>
    <w:rsid w:val="37DF5DC1"/>
    <w:rsid w:val="3F3F83C1"/>
    <w:rsid w:val="3FFB2CBC"/>
    <w:rsid w:val="3FFEF299"/>
    <w:rsid w:val="515D96C9"/>
    <w:rsid w:val="52E7E0AC"/>
    <w:rsid w:val="59BFCFF5"/>
    <w:rsid w:val="5AA68DF4"/>
    <w:rsid w:val="5BC8B681"/>
    <w:rsid w:val="5F7D0069"/>
    <w:rsid w:val="69EEB6DF"/>
    <w:rsid w:val="69F7B3C1"/>
    <w:rsid w:val="6EFF1244"/>
    <w:rsid w:val="6F7FA35A"/>
    <w:rsid w:val="73FD676A"/>
    <w:rsid w:val="744334B2"/>
    <w:rsid w:val="75E35158"/>
    <w:rsid w:val="75EF2D27"/>
    <w:rsid w:val="75EF586D"/>
    <w:rsid w:val="75FDF106"/>
    <w:rsid w:val="76DF3811"/>
    <w:rsid w:val="76F4AE43"/>
    <w:rsid w:val="76FE9C3C"/>
    <w:rsid w:val="76FEEF24"/>
    <w:rsid w:val="77DF9C5E"/>
    <w:rsid w:val="79FBDC67"/>
    <w:rsid w:val="7AFE43C6"/>
    <w:rsid w:val="7B975E38"/>
    <w:rsid w:val="7BBEE47B"/>
    <w:rsid w:val="7CEF5AD8"/>
    <w:rsid w:val="7DEDE8DC"/>
    <w:rsid w:val="7F7D2FE0"/>
    <w:rsid w:val="7FDA506C"/>
    <w:rsid w:val="7FFFB4D9"/>
    <w:rsid w:val="9BCB4616"/>
    <w:rsid w:val="A3FF05CE"/>
    <w:rsid w:val="BFD737CA"/>
    <w:rsid w:val="CE2FEBFD"/>
    <w:rsid w:val="CFBDA5AF"/>
    <w:rsid w:val="CFFFC7C3"/>
    <w:rsid w:val="D7D9A3FB"/>
    <w:rsid w:val="DC563E98"/>
    <w:rsid w:val="DDFF6B0A"/>
    <w:rsid w:val="DE0FE859"/>
    <w:rsid w:val="DEBE8033"/>
    <w:rsid w:val="DFBD1AAC"/>
    <w:rsid w:val="DFDB2343"/>
    <w:rsid w:val="E63F07F4"/>
    <w:rsid w:val="E73D7A39"/>
    <w:rsid w:val="E9BF2FEF"/>
    <w:rsid w:val="EE5D7FDD"/>
    <w:rsid w:val="EEFDA54C"/>
    <w:rsid w:val="EF0E629B"/>
    <w:rsid w:val="EFFD3BD5"/>
    <w:rsid w:val="F7FB5DBE"/>
    <w:rsid w:val="F7FF467F"/>
    <w:rsid w:val="F7FF9E1D"/>
    <w:rsid w:val="F97F75B0"/>
    <w:rsid w:val="F9B67474"/>
    <w:rsid w:val="FBBF0CCD"/>
    <w:rsid w:val="FBDE3B43"/>
    <w:rsid w:val="FBF77508"/>
    <w:rsid w:val="FBFFEFC3"/>
    <w:rsid w:val="FCFD0A8A"/>
    <w:rsid w:val="FDBBD7E9"/>
    <w:rsid w:val="FDDEC8A3"/>
    <w:rsid w:val="FDEFECC2"/>
    <w:rsid w:val="FEFF4665"/>
    <w:rsid w:val="FF3EE32C"/>
    <w:rsid w:val="FF6D9E4A"/>
    <w:rsid w:val="FF7C50D8"/>
    <w:rsid w:val="FF7FAE7E"/>
    <w:rsid w:val="FFCB9976"/>
    <w:rsid w:val="FFCFB65A"/>
    <w:rsid w:val="FFDE4F20"/>
    <w:rsid w:val="FFDE9D38"/>
    <w:rsid w:val="FFEDF525"/>
    <w:rsid w:val="FFFE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02"/>
      <w:ind w:left="228" w:right="980"/>
      <w:jc w:val="center"/>
      <w:outlineLvl w:val="0"/>
    </w:pPr>
    <w:rPr>
      <w:rFonts w:ascii="PMingLiU" w:hAnsi="PMingLiU" w:eastAsia="PMingLiU" w:cs="PMingLiU"/>
      <w:sz w:val="36"/>
      <w:szCs w:val="36"/>
    </w:rPr>
  </w:style>
  <w:style w:type="paragraph" w:styleId="3">
    <w:name w:val="heading 3"/>
    <w:basedOn w:val="1"/>
    <w:next w:val="1"/>
    <w:semiHidden/>
    <w:unhideWhenUsed/>
    <w:qFormat/>
    <w:uiPriority w:val="0"/>
    <w:pPr>
      <w:spacing w:beforeAutospacing="1" w:afterAutospacing="1"/>
      <w:outlineLvl w:val="2"/>
    </w:pPr>
    <w:rPr>
      <w:rFonts w:hint="eastAsia" w:cs="Times New Roman"/>
      <w:b/>
      <w:sz w:val="27"/>
      <w:szCs w:val="27"/>
      <w:lang w:val="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link w:val="14"/>
    <w:qFormat/>
    <w:uiPriority w:val="0"/>
    <w:pPr>
      <w:tabs>
        <w:tab w:val="center" w:pos="4153"/>
        <w:tab w:val="right" w:pos="8306"/>
      </w:tabs>
      <w:snapToGrid w:val="0"/>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0"/>
    <w:rPr>
      <w:i/>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228" w:firstLine="640"/>
    </w:pPr>
  </w:style>
  <w:style w:type="paragraph" w:customStyle="1" w:styleId="12">
    <w:name w:val="Table Paragraph"/>
    <w:basedOn w:val="1"/>
    <w:qFormat/>
    <w:uiPriority w:val="1"/>
  </w:style>
  <w:style w:type="character" w:customStyle="1" w:styleId="13">
    <w:name w:val="页眉 字符"/>
    <w:basedOn w:val="8"/>
    <w:link w:val="6"/>
    <w:qFormat/>
    <w:uiPriority w:val="0"/>
    <w:rPr>
      <w:rFonts w:ascii="宋体" w:hAnsi="宋体" w:eastAsia="宋体" w:cs="宋体"/>
      <w:sz w:val="18"/>
      <w:szCs w:val="18"/>
      <w:lang w:val="zh-CN" w:bidi="zh-CN"/>
    </w:rPr>
  </w:style>
  <w:style w:type="character" w:customStyle="1" w:styleId="14">
    <w:name w:val="页脚 字符"/>
    <w:basedOn w:val="8"/>
    <w:link w:val="5"/>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1158</Words>
  <Characters>1221</Characters>
  <Lines>9</Lines>
  <Paragraphs>2</Paragraphs>
  <TotalTime>9</TotalTime>
  <ScaleCrop>false</ScaleCrop>
  <LinksUpToDate>false</LinksUpToDate>
  <CharactersWithSpaces>1231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2022-05-28T06:59:00Z</dcterms:created>
  <dc:creator>zhenghw</dc:creator>
  <cp:lastModifiedBy>伊冉</cp:lastModifiedBy>
  <cp:lastPrinted>2022-05-28T14:24:00Z</cp:lastPrinted>
  <dcterms:modified xsi:type="dcterms:W3CDTF">2023-05-23T08:32:55Z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2013</vt:lpwstr>
  </property>
  <property fmtid="{D5CDD505-2E9C-101B-9397-08002B2CF9AE}" pid="4" name="LastSaved">
    <vt:filetime>2022-05-19T00:00:00Z</vt:filetime>
  </property>
  <property fmtid="{D5CDD505-2E9C-101B-9397-08002B2CF9AE}" pid="5" name="KSOProductBuildVer">
    <vt:lpwstr>2052-11.1.0.14309</vt:lpwstr>
  </property>
  <property fmtid="{D5CDD505-2E9C-101B-9397-08002B2CF9AE}" pid="6" name="ICV">
    <vt:lpwstr>64AB487CA2814E569E203D3E134A31C3</vt:lpwstr>
  </property>
</Properties>
</file>